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研究生在线</w:t>
      </w:r>
      <w:bookmarkStart w:id="0" w:name="_GoBack"/>
      <w:bookmarkEnd w:id="0"/>
      <w:r>
        <w:rPr>
          <w:rFonts w:ascii="Times New Roman" w:hAnsi="Times New Roman" w:eastAsia="方正小标宋简体"/>
          <w:color w:val="000000"/>
          <w:sz w:val="44"/>
          <w:szCs w:val="44"/>
        </w:rPr>
        <w:t>课程制作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要求</w:t>
      </w:r>
    </w:p>
    <w:p>
      <w:pPr>
        <w:spacing w:line="560" w:lineRule="exact"/>
        <w:ind w:firstLine="641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pacing w:line="560" w:lineRule="exact"/>
        <w:ind w:firstLine="641"/>
        <w:rPr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一、课程内容科学、严谨、系统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/>
          <w:color w:val="000000"/>
          <w:sz w:val="32"/>
          <w:szCs w:val="32"/>
        </w:rPr>
        <w:t>政治导向正确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课程内容资源须遵守国家法律法规，不存在任何政治性、思想性、科学性和规范性问题，并在政治方向以及价值取向上具有正确引导作用，避免敏感问题和不恰当比喻。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/>
          <w:color w:val="000000"/>
          <w:sz w:val="32"/>
          <w:szCs w:val="32"/>
        </w:rPr>
        <w:t>以学习者为中心的课程设计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ascii="Times New Roman" w:hAnsi="Times New Roman" w:eastAsia="仿宋_GB2312"/>
          <w:color w:val="000000"/>
          <w:sz w:val="32"/>
          <w:szCs w:val="32"/>
        </w:rPr>
        <w:t>教学设计系统化：课程视频依照课程大纲，根据不同章节划分知识点，知识点之间的逻辑关系严谨且明确，体现循序渐进的学习过程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针对课程教学目标，重构课程体系，课程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内容完整，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充分发挥学生作为学习主体的教学规律。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ascii="Times New Roman" w:hAnsi="Times New Roman" w:eastAsia="仿宋_GB2312"/>
          <w:color w:val="000000"/>
          <w:sz w:val="32"/>
          <w:szCs w:val="32"/>
        </w:rPr>
        <w:t>课件设计精细化：视频课件内容精炼，无冗余语言；所讲授内容紧扣教学目标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基本内容覆盖该课程所有知识点，合理把握教学容量和难易要求，能够给学生更多的思考空间；能够激发学生学习兴趣，重视激发学生学习的主动性和积极性，能够启发学生发现、解决问题；能够体现行业发展的前沿技术和最新成果；教师能够根据授课经验把握课程的重点难点，并应用于视频课件的设计中，同时应能够根据所授知识类别选择合适的授课形式，以达到较好的线上教学效果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ascii="Times New Roman" w:hAnsi="Times New Roman" w:eastAsia="仿宋_GB2312"/>
          <w:color w:val="000000"/>
          <w:sz w:val="32"/>
          <w:szCs w:val="32"/>
        </w:rPr>
        <w:t>视频呈现多样化：结合教育视频的呈现特点，根据所授知识类别，综合运用包括虚拟抠像、动画、录屏、手绘等多种视频制作技术，通过较好的视频呈现，达到较好的授课效果。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4.</w:t>
      </w:r>
      <w:r>
        <w:rPr>
          <w:rFonts w:ascii="Times New Roman" w:hAnsi="Times New Roman" w:eastAsia="仿宋_GB2312"/>
          <w:color w:val="000000"/>
          <w:sz w:val="32"/>
          <w:szCs w:val="32"/>
        </w:rPr>
        <w:t>线上呈现个性化：基于线上平台功能，综合使用图、文、视频、语音等教学课件和教学素材，将学习课件、课内互动、讨论区互动、考核评估相结合，对个人学习者形成较好的“虚拟一对一小课堂”的教学状态。</w:t>
      </w:r>
    </w:p>
    <w:p>
      <w:pPr>
        <w:spacing w:line="560" w:lineRule="exact"/>
        <w:ind w:firstLine="641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5.</w:t>
      </w:r>
      <w:r>
        <w:rPr>
          <w:rFonts w:ascii="Times New Roman" w:hAnsi="Times New Roman" w:eastAsia="仿宋_GB2312"/>
          <w:color w:val="000000"/>
          <w:sz w:val="32"/>
          <w:szCs w:val="32"/>
        </w:rPr>
        <w:t>内容无版权争议。课程素材如涉及版权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问题，须加入“版权来源”信息。</w:t>
      </w:r>
    </w:p>
    <w:p>
      <w:pPr>
        <w:spacing w:line="560" w:lineRule="exact"/>
        <w:ind w:firstLine="641"/>
        <w:rPr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二、课程资源完整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/>
          <w:color w:val="000000"/>
          <w:sz w:val="32"/>
          <w:szCs w:val="32"/>
        </w:rPr>
        <w:t>基本线上教学活动资源：上线课程所提供的课程资源包括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团队介绍、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课程介绍、教学大纲、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课程的知识点目录、覆盖全部知识点的教学视频（总时长不少于240分钟/学分）、</w:t>
      </w:r>
      <w:r>
        <w:rPr>
          <w:rFonts w:ascii="Times New Roman" w:hAnsi="Times New Roman" w:eastAsia="仿宋_GB2312"/>
          <w:color w:val="000000"/>
          <w:sz w:val="32"/>
          <w:szCs w:val="32"/>
        </w:rPr>
        <w:t>教学日历、教案或演示文稿、重难点指导、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习题</w:t>
      </w:r>
      <w:r>
        <w:rPr>
          <w:rFonts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考核方式说明</w:t>
      </w:r>
      <w:r>
        <w:rPr>
          <w:rFonts w:ascii="Times New Roman" w:hAnsi="Times New Roman" w:eastAsia="仿宋_GB2312"/>
          <w:color w:val="000000"/>
          <w:sz w:val="32"/>
          <w:szCs w:val="32"/>
        </w:rPr>
        <w:t>、参考资料等基本教学活动资源。课程应有合理明确的考核标准，考核标准应以课程教学目标为依据，重视基础知识与基本技能的考查。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/>
          <w:color w:val="000000"/>
          <w:sz w:val="32"/>
          <w:szCs w:val="32"/>
        </w:rPr>
        <w:t>拓展线上教学活动资源：授课团队应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提供</w:t>
      </w:r>
      <w:r>
        <w:rPr>
          <w:rFonts w:ascii="Times New Roman" w:hAnsi="Times New Roman" w:eastAsia="仿宋_GB2312"/>
          <w:color w:val="000000"/>
          <w:sz w:val="32"/>
          <w:szCs w:val="32"/>
        </w:rPr>
        <w:t>较为丰富的线上教学活动资源，扩大学生学习空间，包括但不限于工程案例、相关学术文献、推荐学习网站、教材、参考书等。</w:t>
      </w:r>
    </w:p>
    <w:p>
      <w:pPr>
        <w:spacing w:line="560" w:lineRule="exact"/>
        <w:ind w:firstLine="641"/>
        <w:rPr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三、授课团队水平高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授课团队成员可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由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课程负责人、协作讲师、助教团队组成，其中：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课程负责人：课程负责人应为学校相关课程的在编主讲教师，并在领域内有一定知名度，理论或实践水平较高，教学经验丰富，对所教授的内容有较深入的理解。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</w:t>
      </w:r>
      <w:r>
        <w:rPr>
          <w:rFonts w:ascii="Times New Roman" w:hAnsi="Times New Roman" w:eastAsia="仿宋_GB2312"/>
          <w:color w:val="000000"/>
          <w:sz w:val="32"/>
          <w:szCs w:val="32"/>
        </w:rPr>
        <w:t>）协作讲师：协作讲师应有丰厚的实践经验，对所讲授的内容有独到见解，为高校在编教师或具有高级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专业技术职务</w:t>
      </w:r>
      <w:r>
        <w:rPr>
          <w:rFonts w:ascii="Times New Roman" w:hAnsi="Times New Roman" w:eastAsia="仿宋_GB2312"/>
          <w:color w:val="000000"/>
          <w:sz w:val="32"/>
          <w:szCs w:val="32"/>
        </w:rPr>
        <w:t>的企业专家。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</w:rPr>
        <w:t>）助教团队资质：助教团队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成员</w:t>
      </w:r>
      <w:r>
        <w:rPr>
          <w:rFonts w:ascii="Times New Roman" w:hAnsi="Times New Roman" w:eastAsia="仿宋_GB2312"/>
          <w:color w:val="000000"/>
          <w:sz w:val="32"/>
          <w:szCs w:val="32"/>
        </w:rPr>
        <w:t>原则上应具有研究生以上学历，本门课程成绩优异，对课程中的重点难点有较好的把握。</w:t>
      </w:r>
    </w:p>
    <w:p>
      <w:pPr>
        <w:spacing w:line="560" w:lineRule="exact"/>
        <w:ind w:firstLine="641"/>
        <w:rPr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四、课程运行质量高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课程上线后，授课团队需保障课程的正常运行，课程运行工作主要包括：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</w:rPr>
        <w:t>）课程内容：视频、习题、讲义等及时上传到在线平台。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</w:t>
      </w:r>
      <w:r>
        <w:rPr>
          <w:rFonts w:ascii="Times New Roman" w:hAnsi="Times New Roman" w:eastAsia="仿宋_GB2312"/>
          <w:color w:val="000000"/>
          <w:sz w:val="32"/>
          <w:szCs w:val="32"/>
        </w:rPr>
        <w:t>）课程导学：开课后，定期发布和学习课程有关的信息。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</w:rPr>
        <w:t>）课程结课：设置课程考核标准，根据考核标准合理设置习题、实验、测试题等，保证一定的课程结课率。</w:t>
      </w:r>
    </w:p>
    <w:p>
      <w:pPr>
        <w:spacing w:line="560" w:lineRule="exact"/>
        <w:ind w:firstLine="641"/>
        <w:rPr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Fonts w:ascii="Times New Roman" w:hAnsi="Times New Roman" w:eastAsia="黑体"/>
          <w:b w:val="0"/>
          <w:color w:val="000000"/>
          <w:sz w:val="32"/>
          <w:szCs w:val="32"/>
        </w:rPr>
        <w:t>五、视频制作规范</w:t>
      </w:r>
    </w:p>
    <w:p>
      <w:pPr>
        <w:spacing w:line="560" w:lineRule="exact"/>
        <w:ind w:firstLine="64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课程录制遵循视频参数要求，基本参数如下：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43"/>
        <w:gridCol w:w="5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视频编码方式</w:t>
            </w:r>
          </w:p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（Codec）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H.264 .mp4（视频压缩采用H.264编码方式，封装格式采用MP4）；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视频分辨率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（Resolution）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不低于1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80*720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16:9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视频长度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每段视频为5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分钟为佳，可根据老师需要调整，但不超过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分钟一段；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视频帧率（Frame Rate）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25 fps 或者 29.97 fps （fps:每秒帧数）；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视频码率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（Bit Rate）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不低于</w:t>
            </w:r>
            <w:r>
              <w:rPr>
                <w:rFonts w:hint="default" w:ascii="Times New Roman" w:hAnsi="Times New Roman" w:eastAsia="仿宋_GB2312"/>
                <w:color w:val="000000"/>
                <w:sz w:val="32"/>
                <w:szCs w:val="32"/>
              </w:rPr>
              <w:t>2.5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Mbps（bps：每秒比特数）；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图像效果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（1）图像不过亮、过暗；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（2）人、物移动时无拖影、耀光现象；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（3）</w:t>
            </w:r>
            <w:r>
              <w:rPr>
                <w:rFonts w:hint="default" w:ascii="Times New Roman" w:hAnsi="Times New Roman" w:eastAsia="仿宋_GB2312"/>
                <w:color w:val="000000"/>
                <w:sz w:val="32"/>
                <w:szCs w:val="32"/>
              </w:rPr>
              <w:t>无加帧、无黑场等失误；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（4）</w:t>
            </w:r>
            <w:r>
              <w:rPr>
                <w:rFonts w:hint="default" w:ascii="Times New Roman" w:hAnsi="Times New Roman" w:eastAsia="仿宋_GB2312"/>
                <w:color w:val="000000"/>
                <w:sz w:val="32"/>
                <w:szCs w:val="32"/>
              </w:rPr>
              <w:t>无其它图像质量问题；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音频格式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(Audio)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线性高级音频编码格式，Linear AAC(Advanced Audio Coding)；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音频采样率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(Sample Rate)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采样率不低于48kHz；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音频码率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(Bit Rate)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音频码流率 128Kbps (恒定)</w:t>
            </w:r>
            <w:r>
              <w:rPr>
                <w:rFonts w:hint="default" w:ascii="Times New Roman" w:hAnsi="Times New Roman" w:eastAsia="仿宋_GB2312"/>
                <w:color w:val="000000"/>
                <w:sz w:val="32"/>
                <w:szCs w:val="3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音频信噪比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(SNR)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32"/>
                <w:szCs w:val="32"/>
              </w:rPr>
              <w:t>不低于48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dB；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声音效果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（1）声音和画面同步；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（2）声音无明显失真、无明显噪音、回声或其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他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杂音，无音量忽大忽小现象；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（3）伴音清晰、饱满、圆润，解说声与现场声无明显比例失调，解说声与背景音乐无明显比例失调；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（4）无其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他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声音质量问题；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剪辑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（1）剪辑衔接自然；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（2）无空白帧；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（3）画面节奏顺畅；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后期动画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后期制作的动画应根据内容进行设计，需贴合课程内容，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显示的画面风格和显示的文字（非字幕文件）应一致，不能出现错误，同一门课程中风格一致；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字幕要求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中文授课视频提供对应的中文字幕，英文授课视频提供相应的英文字幕，一般中文一行不超过</w:t>
            </w:r>
            <w:r>
              <w:rPr>
                <w:rFonts w:hint="default" w:ascii="Times New Roman" w:hAnsi="Times New Roman" w:eastAsia="仿宋_GB2312"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个字，中英文结合且是一个整句时，最多20个字，字母不超过40个；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字幕文件格式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字幕不能固定加在视频上，必须以单独的SRT文件格式提供；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字幕编码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中文字幕必须采用UTF-8编码；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字幕时间轴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时间轴准确，字幕出现时间与视频声音一致；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字幕文字内容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字幕文字错误不能超过1%；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片头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（1）片头长度不超过</w:t>
            </w:r>
            <w:r>
              <w:rPr>
                <w:rFonts w:hint="default" w:ascii="Times New Roman" w:hAnsi="Times New Roman" w:eastAsia="仿宋_GB2312"/>
                <w:color w:val="000000"/>
                <w:sz w:val="32"/>
                <w:szCs w:val="32"/>
              </w:rPr>
              <w:t>30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秒；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（2）片头应使用体现课程所属院校、机构特色的元素；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（3）片头中应出现明显、不失真的课程所属院校、机构的字样和标志或课程名称；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片尾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（1）片尾应根据实际需求添加，一般不超过5秒；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（2）使用体现课程所属院校、机构特色的素材或课程名称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视频Logo</w:t>
            </w: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视频的相应位置根据需求只能添加课程所属院校、机构或课程内容统一设计Logo标志，不能添加制作公司名称和logo，表示应明显、且不影响正常视频内容。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54242"/>
    <w:rsid w:val="5684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正文1"/>
    <w:qFormat/>
    <w:uiPriority w:val="99"/>
    <w:pPr>
      <w:spacing w:line="276" w:lineRule="auto"/>
    </w:pPr>
    <w:rPr>
      <w:rFonts w:ascii="Arial" w:hAnsi="Arial" w:eastAsia="宋体" w:cs="Arial"/>
      <w:color w:val="000000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2020-04-10T17:52:00Z</dcterms:created>
  <dc:creator>mathpan</dc:creator>
  <cp:lastModifiedBy>mathpan</cp:lastModifiedBy>
  <dcterms:modified xsi:type="dcterms:W3CDTF">2020-06-04T14:28:18Z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